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AF" w:rsidRPr="00445979" w:rsidRDefault="002C4554" w:rsidP="00C24833">
      <w:pPr>
        <w:pStyle w:val="Heading1"/>
        <w:jc w:val="center"/>
        <w:rPr>
          <w:color w:val="000000" w:themeColor="text1"/>
        </w:rPr>
      </w:pPr>
      <w:r w:rsidRPr="00445979">
        <w:rPr>
          <w:color w:val="000000" w:themeColor="text1"/>
        </w:rPr>
        <w:t xml:space="preserve">Federal </w:t>
      </w:r>
      <w:r w:rsidR="003D6660" w:rsidRPr="00445979">
        <w:rPr>
          <w:color w:val="000000" w:themeColor="text1"/>
        </w:rPr>
        <w:t xml:space="preserve">Adoption and Safe Families Act </w:t>
      </w:r>
      <w:r w:rsidRPr="00445979">
        <w:rPr>
          <w:color w:val="000000" w:themeColor="text1"/>
        </w:rPr>
        <w:t>of 1997</w:t>
      </w:r>
      <w:r w:rsidR="00570850" w:rsidRPr="00445979">
        <w:rPr>
          <w:color w:val="000000" w:themeColor="text1"/>
        </w:rPr>
        <w:t xml:space="preserve"> (ASFA)</w:t>
      </w:r>
    </w:p>
    <w:p w:rsidR="00B9105E" w:rsidRPr="00B9105E" w:rsidRDefault="00B9105E" w:rsidP="00F94C19">
      <w:pPr>
        <w:pStyle w:val="Heading2"/>
      </w:pPr>
    </w:p>
    <w:p w:rsidR="003D6660" w:rsidRDefault="003D6660"/>
    <w:p w:rsidR="002C4554" w:rsidRPr="002C4554" w:rsidRDefault="002C4554">
      <w:pPr>
        <w:rPr>
          <w:b/>
          <w:i/>
        </w:rPr>
      </w:pPr>
      <w:r w:rsidRPr="002C4554">
        <w:rPr>
          <w:b/>
          <w:i/>
        </w:rPr>
        <w:t>Background</w:t>
      </w:r>
      <w:r w:rsidR="00AC2FC7">
        <w:rPr>
          <w:b/>
          <w:i/>
        </w:rPr>
        <w:t xml:space="preserve"> / Landscape</w:t>
      </w:r>
    </w:p>
    <w:p w:rsidR="002C4554" w:rsidRDefault="002C4554"/>
    <w:p w:rsidR="00EE4234" w:rsidRDefault="000F0FE7" w:rsidP="006905D4">
      <w:pPr>
        <w:jc w:val="both"/>
      </w:pPr>
      <w:r>
        <w:t xml:space="preserve">Congress passed </w:t>
      </w:r>
      <w:r w:rsidR="0061565B">
        <w:t>ASFA</w:t>
      </w:r>
      <w:r w:rsidR="00B32AA3">
        <w:t xml:space="preserve"> </w:t>
      </w:r>
      <w:r>
        <w:t xml:space="preserve">in part to </w:t>
      </w:r>
      <w:r w:rsidR="001A044D">
        <w:t xml:space="preserve">promote the safety, permanency, and well-being of </w:t>
      </w:r>
      <w:r>
        <w:t xml:space="preserve">children in foster care. </w:t>
      </w:r>
      <w:r w:rsidR="0061565B">
        <w:t xml:space="preserve">One mandate of </w:t>
      </w:r>
      <w:r w:rsidR="00B32AA3">
        <w:t xml:space="preserve">Section 103 of </w:t>
      </w:r>
      <w:r w:rsidR="002C4554">
        <w:t xml:space="preserve">that law </w:t>
      </w:r>
      <w:r w:rsidR="0061565B">
        <w:t xml:space="preserve">is that </w:t>
      </w:r>
      <w:r w:rsidR="002C4554">
        <w:t xml:space="preserve">states </w:t>
      </w:r>
      <w:r w:rsidR="0061565B">
        <w:t xml:space="preserve">must file a </w:t>
      </w:r>
      <w:r w:rsidR="002C4554">
        <w:t xml:space="preserve">petition to terminate parental rights </w:t>
      </w:r>
      <w:r w:rsidR="005C2E58">
        <w:t>(</w:t>
      </w:r>
      <w:r w:rsidR="002C4554">
        <w:t>TPR</w:t>
      </w:r>
      <w:r w:rsidR="005C2E58">
        <w:t>)</w:t>
      </w:r>
      <w:r w:rsidR="002C4554">
        <w:t xml:space="preserve"> on behalf of a child who has been in foster care for 15</w:t>
      </w:r>
      <w:r w:rsidR="006905D4">
        <w:t xml:space="preserve"> consecutive months, or 15</w:t>
      </w:r>
      <w:r w:rsidR="002C4554">
        <w:t xml:space="preserve"> of the most recent 22 months</w:t>
      </w:r>
      <w:r w:rsidR="005E6BFF">
        <w:t>.</w:t>
      </w:r>
      <w:r w:rsidR="00832205">
        <w:rPr>
          <w:rStyle w:val="FootnoteReference"/>
        </w:rPr>
        <w:footnoteReference w:id="1"/>
      </w:r>
      <w:r w:rsidR="005E6BFF">
        <w:t xml:space="preserve"> Exceptions exist where: 1) </w:t>
      </w:r>
      <w:r w:rsidR="00614FED">
        <w:t xml:space="preserve">at the option of the state, </w:t>
      </w:r>
      <w:r w:rsidR="005E6BFF">
        <w:t xml:space="preserve">the </w:t>
      </w:r>
      <w:r w:rsidR="00A85499">
        <w:t xml:space="preserve">child is being cared for by a relative, 2) the state finds that termination of parental rights would not be in the best </w:t>
      </w:r>
      <w:r w:rsidR="00B72757">
        <w:t>interest</w:t>
      </w:r>
      <w:r w:rsidR="00614FED">
        <w:t>s of the child</w:t>
      </w:r>
      <w:r w:rsidR="00B72757">
        <w:t>, or 3) the state has not provided appropriate services for the safe return of the child to his or her home.</w:t>
      </w:r>
      <w:r w:rsidR="00AC2FC7">
        <w:t xml:space="preserve"> </w:t>
      </w:r>
      <w:r w:rsidR="0061565B">
        <w:t xml:space="preserve">The provision can be triggered by parental incarceration, </w:t>
      </w:r>
      <w:r w:rsidR="00DB2501">
        <w:t xml:space="preserve">even when the parent </w:t>
      </w:r>
      <w:r w:rsidR="006905D4">
        <w:t>attempts to remain</w:t>
      </w:r>
      <w:r w:rsidR="00DB2501">
        <w:t xml:space="preserve"> engaged in services designed to support reunification</w:t>
      </w:r>
      <w:r w:rsidR="00EE4234">
        <w:t>.</w:t>
      </w:r>
      <w:r w:rsidR="00801EE9">
        <w:t xml:space="preserve"> Thus, </w:t>
      </w:r>
      <w:r w:rsidR="00B63801">
        <w:t xml:space="preserve">despite the stated intent, the law may lead to </w:t>
      </w:r>
      <w:r w:rsidR="006A7A8A">
        <w:t xml:space="preserve">the severance of </w:t>
      </w:r>
      <w:r w:rsidR="00B63801">
        <w:t xml:space="preserve">family </w:t>
      </w:r>
      <w:r w:rsidR="006A7A8A">
        <w:t xml:space="preserve">ties </w:t>
      </w:r>
      <w:r w:rsidR="00B63801">
        <w:t>against the best interests of the child.</w:t>
      </w:r>
      <w:r w:rsidR="00C17832">
        <w:rPr>
          <w:rStyle w:val="FootnoteReference"/>
        </w:rPr>
        <w:footnoteReference w:id="2"/>
      </w:r>
      <w:r w:rsidR="0061565B">
        <w:t xml:space="preserve"> Figure 1 (below) notes specific steps states have taken to prevent this unintended consequence.</w:t>
      </w:r>
    </w:p>
    <w:p w:rsidR="00EE4234" w:rsidRDefault="00EE4234"/>
    <w:p w:rsidR="003D6660" w:rsidRDefault="00AB1A8A">
      <w:r>
        <w:rPr>
          <w:b/>
          <w:i/>
        </w:rPr>
        <w:t>Connecticut</w:t>
      </w:r>
    </w:p>
    <w:p w:rsidR="00AB1A8A" w:rsidRDefault="00AB1A8A"/>
    <w:p w:rsidR="00AB1A8A" w:rsidRDefault="00777BF0" w:rsidP="00B9105E">
      <w:pPr>
        <w:jc w:val="both"/>
      </w:pPr>
      <w:r>
        <w:t>In 1998, in advance of Connecticut’s statutory compliance with ASFA, the Connecticut General Assembly’s Office of Legislative Research (OLR) analyzed steps required for such compliance.</w:t>
      </w:r>
      <w:r>
        <w:rPr>
          <w:rStyle w:val="FootnoteReference"/>
        </w:rPr>
        <w:footnoteReference w:id="3"/>
      </w:r>
      <w:r>
        <w:t xml:space="preserve"> </w:t>
      </w:r>
      <w:r w:rsidR="002C4554">
        <w:t>As of this writing</w:t>
      </w:r>
      <w:r w:rsidR="00BA5977">
        <w:t>, Conne</w:t>
      </w:r>
      <w:r w:rsidR="00754EB1">
        <w:t xml:space="preserve">cticut has not adopted specific statutory provisions aimed at preventing unintended, unnecessary application of the </w:t>
      </w:r>
      <w:r w:rsidR="00B4749C">
        <w:t>ASFA</w:t>
      </w:r>
      <w:r w:rsidR="00BA5977">
        <w:t xml:space="preserve"> 15/22 mandate. </w:t>
      </w:r>
      <w:r w:rsidR="006B354B">
        <w:t xml:space="preserve">In relevant part, </w:t>
      </w:r>
      <w:r w:rsidR="00BA5977">
        <w:t xml:space="preserve">Connecticut’s current law </w:t>
      </w:r>
      <w:r w:rsidR="00B81EE4">
        <w:t xml:space="preserve">reflects ASFA </w:t>
      </w:r>
      <w:r w:rsidR="00BA5977">
        <w:t>as follows</w:t>
      </w:r>
      <w:r w:rsidR="00B4749C">
        <w:t>.</w:t>
      </w:r>
    </w:p>
    <w:p w:rsidR="00AB1A8A" w:rsidRDefault="00AB1A8A"/>
    <w:p w:rsidR="00B4749C" w:rsidRPr="00B4749C" w:rsidRDefault="00B4749C" w:rsidP="00D32771">
      <w:pPr>
        <w:pStyle w:val="NormalWeb"/>
        <w:spacing w:before="0" w:beforeAutospacing="0" w:after="0" w:afterAutospacing="0"/>
        <w:ind w:left="1440" w:right="1440"/>
        <w:jc w:val="both"/>
        <w:rPr>
          <w:sz w:val="20"/>
        </w:rPr>
      </w:pPr>
      <w:r w:rsidRPr="00B4749C">
        <w:rPr>
          <w:rStyle w:val="catchln"/>
          <w:sz w:val="20"/>
        </w:rPr>
        <w:t>Sec. 17a-111a. Commissioner of Children and Families to file petition to terminate parental rights, when.</w:t>
      </w:r>
      <w:r w:rsidRPr="00B4749C">
        <w:rPr>
          <w:sz w:val="20"/>
        </w:rPr>
        <w:t xml:space="preserve"> (a) The Commissioner of Children and Families shall file a petition </w:t>
      </w:r>
      <w:r w:rsidRPr="00B4749C">
        <w:rPr>
          <w:sz w:val="20"/>
        </w:rPr>
        <w:lastRenderedPageBreak/>
        <w:t xml:space="preserve">to terminate parental rights pursuant to section 17a-112 if (1) the child has been in the custody of the commissioner for at least fifteen consecutive months, or at least fifteen months during the twenty-two months, immediately preceding the filing of such petition; (2) the child has been abandoned as defined in subsection (j) of section 17a-112; or (3) a court of competent jurisdiction has found that (A) the parent has killed, through deliberate, </w:t>
      </w:r>
      <w:proofErr w:type="spellStart"/>
      <w:r w:rsidRPr="00B4749C">
        <w:rPr>
          <w:sz w:val="20"/>
        </w:rPr>
        <w:t>nonaccidental</w:t>
      </w:r>
      <w:proofErr w:type="spellEnd"/>
      <w:r w:rsidRPr="00B4749C">
        <w:rPr>
          <w:sz w:val="20"/>
        </w:rPr>
        <w:t xml:space="preserve"> act, a sibling of the child or has requested, commanded, importuned, attempted, conspired or solicited to commit the killing of the child or a sibling of the child; or (B) the parent has assaulted the child or a sibling of a child, through deliberate, </w:t>
      </w:r>
      <w:proofErr w:type="spellStart"/>
      <w:r w:rsidRPr="00B4749C">
        <w:rPr>
          <w:sz w:val="20"/>
        </w:rPr>
        <w:t>nonaccidental</w:t>
      </w:r>
      <w:proofErr w:type="spellEnd"/>
      <w:r w:rsidRPr="00B4749C">
        <w:rPr>
          <w:sz w:val="20"/>
        </w:rPr>
        <w:t xml:space="preserve"> act, and such assault resulted in serious bodily injury to such child.</w:t>
      </w:r>
    </w:p>
    <w:p w:rsidR="00686C7E" w:rsidRDefault="00686C7E" w:rsidP="00D32771">
      <w:pPr>
        <w:pStyle w:val="NormalWeb"/>
        <w:spacing w:before="0" w:beforeAutospacing="0" w:after="0" w:afterAutospacing="0"/>
        <w:ind w:left="1440" w:right="1440"/>
        <w:jc w:val="both"/>
        <w:rPr>
          <w:sz w:val="20"/>
        </w:rPr>
      </w:pPr>
    </w:p>
    <w:p w:rsidR="00B4749C" w:rsidRDefault="00B4749C" w:rsidP="00C24833">
      <w:pPr>
        <w:pStyle w:val="NormalWeb"/>
        <w:spacing w:before="0" w:beforeAutospacing="0" w:after="0" w:afterAutospacing="0"/>
        <w:ind w:left="1440" w:right="1440"/>
        <w:jc w:val="both"/>
        <w:rPr>
          <w:sz w:val="20"/>
        </w:rPr>
      </w:pPr>
      <w:r w:rsidRPr="00B4749C">
        <w:rPr>
          <w:sz w:val="20"/>
        </w:rPr>
        <w:t>(b) Notwithstanding the provisions of subsection (a) of this section, the commissioner is not required to file a petition to terminate parental rights in such cases if the commissioner determines that: (1) The child has been placed under the care of a relative of such child; (2) there is a compelling reason to believe that filing such petition is not in the best interests of the child; or (3) the parent has not been offered the services contained in the permanency plan to reunify the parent with the child or such services were not available, unless a court has determined that efforts to reunify the parent with the child are not required.</w:t>
      </w:r>
      <w:r w:rsidR="006B354B">
        <w:rPr>
          <w:rStyle w:val="FootnoteReference"/>
          <w:sz w:val="20"/>
        </w:rPr>
        <w:footnoteReference w:id="4"/>
      </w:r>
    </w:p>
    <w:p w:rsidR="00AC3AA7" w:rsidRDefault="00AC3AA7" w:rsidP="00AC3AA7">
      <w:pPr>
        <w:pStyle w:val="NormalWeb"/>
        <w:spacing w:before="0" w:beforeAutospacing="0" w:after="0" w:afterAutospacing="0"/>
        <w:ind w:right="1440"/>
        <w:jc w:val="both"/>
        <w:rPr>
          <w:sz w:val="20"/>
        </w:rPr>
      </w:pPr>
    </w:p>
    <w:p w:rsidR="00445979" w:rsidRPr="00445979" w:rsidRDefault="00445979" w:rsidP="00AC3AA7">
      <w:pPr>
        <w:jc w:val="both"/>
        <w:rPr>
          <w:b/>
          <w:i/>
        </w:rPr>
      </w:pPr>
      <w:r>
        <w:rPr>
          <w:b/>
          <w:i/>
        </w:rPr>
        <w:t>Current Legislative Proposal</w:t>
      </w:r>
      <w:bookmarkStart w:id="0" w:name="_GoBack"/>
      <w:bookmarkEnd w:id="0"/>
    </w:p>
    <w:p w:rsidR="00445979" w:rsidRDefault="00445979" w:rsidP="00AC3AA7">
      <w:pPr>
        <w:jc w:val="both"/>
      </w:pPr>
    </w:p>
    <w:p w:rsidR="00AC3AA7" w:rsidRDefault="00445979" w:rsidP="00AC3AA7">
      <w:pPr>
        <w:jc w:val="both"/>
      </w:pPr>
      <w:r>
        <w:t>The Connecticut</w:t>
      </w:r>
      <w:r w:rsidR="00AC3AA7">
        <w:t xml:space="preserve"> Sentencing Commission’s ASFA proposal seeks to address, in-part:</w:t>
      </w:r>
    </w:p>
    <w:p w:rsidR="00445979" w:rsidRDefault="00445979" w:rsidP="00AC3AA7">
      <w:pPr>
        <w:jc w:val="both"/>
      </w:pPr>
    </w:p>
    <w:p w:rsidR="00AC3AA7" w:rsidRDefault="00AC3AA7" w:rsidP="00AC3AA7">
      <w:pPr>
        <w:pStyle w:val="ListParagraph"/>
        <w:numPr>
          <w:ilvl w:val="0"/>
          <w:numId w:val="8"/>
        </w:numPr>
        <w:jc w:val="both"/>
      </w:pPr>
      <w:r>
        <w:t>Considering the actual accessibility of programs/treatment at the correctional facility within which the parent is confined.</w:t>
      </w:r>
    </w:p>
    <w:p w:rsidR="00445979" w:rsidRDefault="00445979" w:rsidP="00445979">
      <w:pPr>
        <w:pStyle w:val="ListParagraph"/>
        <w:jc w:val="both"/>
      </w:pPr>
    </w:p>
    <w:p w:rsidR="00AC3AA7" w:rsidRDefault="00AC3AA7" w:rsidP="00AC3AA7">
      <w:pPr>
        <w:pStyle w:val="ListParagraph"/>
        <w:numPr>
          <w:ilvl w:val="0"/>
          <w:numId w:val="8"/>
        </w:numPr>
        <w:jc w:val="both"/>
      </w:pPr>
      <w:r>
        <w:t xml:space="preserve">When a parent has a lengthy sentence and has a meaningful relationship with their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), the court shall consider a permanency plan that does not include Termination of Parental Rights (TPR).</w:t>
      </w:r>
    </w:p>
    <w:p w:rsidR="00445979" w:rsidRDefault="00445979" w:rsidP="00445979">
      <w:pPr>
        <w:jc w:val="both"/>
      </w:pPr>
    </w:p>
    <w:p w:rsidR="00AC3AA7" w:rsidRDefault="00AC3AA7" w:rsidP="00AC3AA7">
      <w:pPr>
        <w:pStyle w:val="ListParagraph"/>
        <w:numPr>
          <w:ilvl w:val="0"/>
          <w:numId w:val="8"/>
        </w:numPr>
        <w:jc w:val="both"/>
      </w:pPr>
      <w:r>
        <w:t>Provide a definition for “compelling reason” to determine that TPR is not in the best interests of the child when the parent is incarcerated.</w:t>
      </w:r>
    </w:p>
    <w:p w:rsidR="00445979" w:rsidRDefault="00445979" w:rsidP="00445979">
      <w:pPr>
        <w:jc w:val="both"/>
      </w:pPr>
    </w:p>
    <w:p w:rsidR="00AC3AA7" w:rsidRDefault="00AC3AA7" w:rsidP="00AC3AA7">
      <w:pPr>
        <w:pStyle w:val="ListParagraph"/>
        <w:numPr>
          <w:ilvl w:val="0"/>
          <w:numId w:val="8"/>
        </w:numPr>
        <w:jc w:val="both"/>
      </w:pPr>
      <w:r>
        <w:t>Provide definition for “meaningful ro</w:t>
      </w:r>
      <w:r w:rsidR="00445979">
        <w:t>le” when parent is incarcerated</w:t>
      </w:r>
    </w:p>
    <w:p w:rsidR="00445979" w:rsidRDefault="00445979" w:rsidP="00445979">
      <w:pPr>
        <w:jc w:val="both"/>
      </w:pPr>
    </w:p>
    <w:p w:rsidR="00AC3AA7" w:rsidRDefault="00AC3AA7" w:rsidP="00AC3AA7">
      <w:pPr>
        <w:pStyle w:val="ListParagraph"/>
        <w:numPr>
          <w:ilvl w:val="0"/>
          <w:numId w:val="8"/>
        </w:numPr>
        <w:jc w:val="both"/>
      </w:pPr>
      <w:r>
        <w:t>To allow a parent</w:t>
      </w:r>
      <w:r w:rsidRPr="00021219">
        <w:t xml:space="preserve"> </w:t>
      </w:r>
      <w:r>
        <w:t>to participate in case reviews via teleconference or videoconference when unable to attend in person due to incarceration.</w:t>
      </w:r>
    </w:p>
    <w:p w:rsidR="00AC3AA7" w:rsidRPr="00AC3AA7" w:rsidRDefault="00AC3AA7" w:rsidP="00AC3AA7">
      <w:pPr>
        <w:jc w:val="both"/>
      </w:pPr>
    </w:p>
    <w:sectPr w:rsidR="00AC3AA7" w:rsidRPr="00AC3AA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F8D" w:rsidRDefault="006D1F8D" w:rsidP="00B72757">
      <w:r>
        <w:separator/>
      </w:r>
    </w:p>
  </w:endnote>
  <w:endnote w:type="continuationSeparator" w:id="0">
    <w:p w:rsidR="006D1F8D" w:rsidRDefault="006D1F8D" w:rsidP="00B7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55 Roman">
    <w:altName w:val="Aveni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C7E" w:rsidRDefault="00686C7E" w:rsidP="00686C7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F8D" w:rsidRDefault="006D1F8D" w:rsidP="00B72757">
      <w:r>
        <w:separator/>
      </w:r>
    </w:p>
  </w:footnote>
  <w:footnote w:type="continuationSeparator" w:id="0">
    <w:p w:rsidR="006D1F8D" w:rsidRDefault="006D1F8D" w:rsidP="00B72757">
      <w:r>
        <w:continuationSeparator/>
      </w:r>
    </w:p>
  </w:footnote>
  <w:footnote w:id="1">
    <w:p w:rsidR="00832205" w:rsidRDefault="00832205">
      <w:pPr>
        <w:pStyle w:val="FootnoteText"/>
      </w:pPr>
      <w:r>
        <w:rPr>
          <w:rStyle w:val="FootnoteReference"/>
        </w:rPr>
        <w:footnoteRef/>
      </w:r>
      <w:r>
        <w:t xml:space="preserve"> ASFA specifies how the count </w:t>
      </w:r>
      <w:r w:rsidR="00242AD8">
        <w:t>must be conducted based on milestone dates.</w:t>
      </w:r>
    </w:p>
  </w:footnote>
  <w:footnote w:id="2">
    <w:p w:rsidR="00C17832" w:rsidRDefault="00C17832">
      <w:pPr>
        <w:pStyle w:val="FootnoteText"/>
      </w:pPr>
      <w:r>
        <w:rPr>
          <w:rStyle w:val="FootnoteReference"/>
        </w:rPr>
        <w:footnoteRef/>
      </w:r>
      <w:r>
        <w:t xml:space="preserve"> The Brennan Center for Justice summarized the issue in a 2006 press release </w:t>
      </w:r>
      <w:r w:rsidR="00172EF6">
        <w:t xml:space="preserve">available at </w:t>
      </w:r>
      <w:hyperlink r:id="rId1" w:history="1">
        <w:r w:rsidR="00172EF6" w:rsidRPr="00922684">
          <w:rPr>
            <w:rStyle w:val="Hyperlink"/>
          </w:rPr>
          <w:t>https://www.brennancenter.org/press-release/national-study-faults-federal-adoption-safe-families-act-consigning-children-permanent</w:t>
        </w:r>
      </w:hyperlink>
      <w:r w:rsidR="00172EF6">
        <w:t xml:space="preserve">; </w:t>
      </w:r>
      <w:r>
        <w:t>also</w:t>
      </w:r>
      <w:r w:rsidR="00172EF6">
        <w:t xml:space="preserve"> see full </w:t>
      </w:r>
      <w:r w:rsidR="00172EF6" w:rsidRPr="00172EF6">
        <w:rPr>
          <w:i/>
        </w:rPr>
        <w:t>Rebuilding Families, Reclaiming Lives</w:t>
      </w:r>
      <w:r w:rsidR="00172EF6">
        <w:t xml:space="preserve"> report at </w:t>
      </w:r>
      <w:hyperlink r:id="rId2" w:history="1">
        <w:r w:rsidR="00172EF6" w:rsidRPr="00922684">
          <w:rPr>
            <w:rStyle w:val="Hyperlink"/>
          </w:rPr>
          <w:t>https://www.brennancenter.org/publication/rebuilding-families-reclaiming-lives</w:t>
        </w:r>
      </w:hyperlink>
      <w:r w:rsidR="00172EF6">
        <w:t>.</w:t>
      </w:r>
    </w:p>
  </w:footnote>
  <w:footnote w:id="3">
    <w:p w:rsidR="00777BF0" w:rsidRDefault="00777BF0" w:rsidP="00777BF0">
      <w:pPr>
        <w:pStyle w:val="FootnoteText"/>
      </w:pPr>
      <w:r>
        <w:rPr>
          <w:rStyle w:val="FootnoteReference"/>
        </w:rPr>
        <w:footnoteRef/>
      </w:r>
      <w:r>
        <w:t xml:space="preserve"> OLR analysis, </w:t>
      </w:r>
      <w:hyperlink r:id="rId3" w:history="1">
        <w:r w:rsidRPr="00922684">
          <w:rPr>
            <w:rStyle w:val="Hyperlink"/>
          </w:rPr>
          <w:t>https://www.cga.ct.gov/PS98/rpt%5Colr%5Chtm/98-R-0627.htm</w:t>
        </w:r>
      </w:hyperlink>
      <w:r>
        <w:t>.</w:t>
      </w:r>
    </w:p>
  </w:footnote>
  <w:footnote w:id="4">
    <w:p w:rsidR="006B354B" w:rsidRDefault="006B354B">
      <w:pPr>
        <w:pStyle w:val="FootnoteText"/>
      </w:pPr>
      <w:r>
        <w:rPr>
          <w:rStyle w:val="FootnoteReference"/>
        </w:rPr>
        <w:footnoteRef/>
      </w:r>
      <w:r>
        <w:t xml:space="preserve"> See, </w:t>
      </w:r>
      <w:hyperlink r:id="rId4" w:anchor="sec_17a-111a" w:history="1">
        <w:r w:rsidRPr="00922684">
          <w:rPr>
            <w:rStyle w:val="Hyperlink"/>
          </w:rPr>
          <w:t>https://www.cga.ct.gov/current/pub/chap_319a.htm#sec_17a-111a</w:t>
        </w:r>
      </w:hyperlink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0262"/>
    <w:multiLevelType w:val="hybridMultilevel"/>
    <w:tmpl w:val="CEC84F92"/>
    <w:lvl w:ilvl="0" w:tplc="A2E48E90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258"/>
    <w:multiLevelType w:val="hybridMultilevel"/>
    <w:tmpl w:val="7F70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B5BC0"/>
    <w:multiLevelType w:val="hybridMultilevel"/>
    <w:tmpl w:val="1690D1BA"/>
    <w:lvl w:ilvl="0" w:tplc="56402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1E0D4"/>
    <w:multiLevelType w:val="hybridMultilevel"/>
    <w:tmpl w:val="0161484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9F60840"/>
    <w:multiLevelType w:val="hybridMultilevel"/>
    <w:tmpl w:val="AF06EAD0"/>
    <w:lvl w:ilvl="0" w:tplc="B64C1D20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7CFA9"/>
    <w:multiLevelType w:val="hybridMultilevel"/>
    <w:tmpl w:val="BFDA2E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C182E9D"/>
    <w:multiLevelType w:val="hybridMultilevel"/>
    <w:tmpl w:val="0D26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9354E"/>
    <w:multiLevelType w:val="hybridMultilevel"/>
    <w:tmpl w:val="E73C79B2"/>
    <w:lvl w:ilvl="0" w:tplc="871EF6AC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60"/>
    <w:rsid w:val="00022B00"/>
    <w:rsid w:val="00024C5E"/>
    <w:rsid w:val="00031D45"/>
    <w:rsid w:val="000A59CA"/>
    <w:rsid w:val="000A62A8"/>
    <w:rsid w:val="000C0001"/>
    <w:rsid w:val="000F0FE7"/>
    <w:rsid w:val="00102F50"/>
    <w:rsid w:val="001163AF"/>
    <w:rsid w:val="0016526C"/>
    <w:rsid w:val="0017131C"/>
    <w:rsid w:val="00172EF6"/>
    <w:rsid w:val="001A044D"/>
    <w:rsid w:val="001C0C39"/>
    <w:rsid w:val="001D4D34"/>
    <w:rsid w:val="001D789A"/>
    <w:rsid w:val="00203451"/>
    <w:rsid w:val="00242AD8"/>
    <w:rsid w:val="0028080E"/>
    <w:rsid w:val="002C4554"/>
    <w:rsid w:val="002D66CA"/>
    <w:rsid w:val="00314644"/>
    <w:rsid w:val="00315EA4"/>
    <w:rsid w:val="00330892"/>
    <w:rsid w:val="00381E81"/>
    <w:rsid w:val="0039654F"/>
    <w:rsid w:val="003D12C9"/>
    <w:rsid w:val="003D12F2"/>
    <w:rsid w:val="003D6660"/>
    <w:rsid w:val="00426817"/>
    <w:rsid w:val="004333FD"/>
    <w:rsid w:val="00445979"/>
    <w:rsid w:val="0047389C"/>
    <w:rsid w:val="00487EAE"/>
    <w:rsid w:val="00490A4B"/>
    <w:rsid w:val="004B5C3C"/>
    <w:rsid w:val="004B781B"/>
    <w:rsid w:val="004F01F9"/>
    <w:rsid w:val="00507385"/>
    <w:rsid w:val="00510C91"/>
    <w:rsid w:val="00523FA1"/>
    <w:rsid w:val="005244FA"/>
    <w:rsid w:val="0055521E"/>
    <w:rsid w:val="005678FF"/>
    <w:rsid w:val="00570850"/>
    <w:rsid w:val="005B125A"/>
    <w:rsid w:val="005B5ADB"/>
    <w:rsid w:val="005B6936"/>
    <w:rsid w:val="005C2E58"/>
    <w:rsid w:val="005C36B0"/>
    <w:rsid w:val="005C7DB4"/>
    <w:rsid w:val="005E6BFF"/>
    <w:rsid w:val="00604924"/>
    <w:rsid w:val="00614FED"/>
    <w:rsid w:val="0061565B"/>
    <w:rsid w:val="006201CB"/>
    <w:rsid w:val="00622CF6"/>
    <w:rsid w:val="006679E1"/>
    <w:rsid w:val="00686451"/>
    <w:rsid w:val="00686C7E"/>
    <w:rsid w:val="006905D4"/>
    <w:rsid w:val="00690A75"/>
    <w:rsid w:val="006A7A8A"/>
    <w:rsid w:val="006B354B"/>
    <w:rsid w:val="006C4B02"/>
    <w:rsid w:val="006C7D80"/>
    <w:rsid w:val="006D0DAD"/>
    <w:rsid w:val="006D1F8D"/>
    <w:rsid w:val="006D7CA4"/>
    <w:rsid w:val="0070090A"/>
    <w:rsid w:val="0072420C"/>
    <w:rsid w:val="00743D92"/>
    <w:rsid w:val="00754EB1"/>
    <w:rsid w:val="00757F48"/>
    <w:rsid w:val="00777BF0"/>
    <w:rsid w:val="007C01C5"/>
    <w:rsid w:val="007F6348"/>
    <w:rsid w:val="00801EE9"/>
    <w:rsid w:val="008248C2"/>
    <w:rsid w:val="008255FD"/>
    <w:rsid w:val="00832205"/>
    <w:rsid w:val="008423FF"/>
    <w:rsid w:val="00847D4F"/>
    <w:rsid w:val="00851169"/>
    <w:rsid w:val="00870A53"/>
    <w:rsid w:val="008936A0"/>
    <w:rsid w:val="008E76B2"/>
    <w:rsid w:val="00907B7A"/>
    <w:rsid w:val="0091098B"/>
    <w:rsid w:val="00920F3A"/>
    <w:rsid w:val="009559B7"/>
    <w:rsid w:val="0095619E"/>
    <w:rsid w:val="009A6E15"/>
    <w:rsid w:val="009E4A3C"/>
    <w:rsid w:val="00A377C3"/>
    <w:rsid w:val="00A5366E"/>
    <w:rsid w:val="00A85499"/>
    <w:rsid w:val="00AB1A8A"/>
    <w:rsid w:val="00AC2FC7"/>
    <w:rsid w:val="00AC3AA7"/>
    <w:rsid w:val="00AD66A1"/>
    <w:rsid w:val="00AF1AD8"/>
    <w:rsid w:val="00B039D4"/>
    <w:rsid w:val="00B165B1"/>
    <w:rsid w:val="00B21E66"/>
    <w:rsid w:val="00B32AA3"/>
    <w:rsid w:val="00B45E60"/>
    <w:rsid w:val="00B4749C"/>
    <w:rsid w:val="00B63801"/>
    <w:rsid w:val="00B72757"/>
    <w:rsid w:val="00B81EE4"/>
    <w:rsid w:val="00B82D30"/>
    <w:rsid w:val="00B9105E"/>
    <w:rsid w:val="00BA5977"/>
    <w:rsid w:val="00BD0036"/>
    <w:rsid w:val="00BD7EAA"/>
    <w:rsid w:val="00C105F0"/>
    <w:rsid w:val="00C17832"/>
    <w:rsid w:val="00C2399A"/>
    <w:rsid w:val="00C24833"/>
    <w:rsid w:val="00C34599"/>
    <w:rsid w:val="00C40D21"/>
    <w:rsid w:val="00C44A80"/>
    <w:rsid w:val="00C638FC"/>
    <w:rsid w:val="00C659A8"/>
    <w:rsid w:val="00C755A7"/>
    <w:rsid w:val="00CA4078"/>
    <w:rsid w:val="00CC6C65"/>
    <w:rsid w:val="00CE2590"/>
    <w:rsid w:val="00CF4AB2"/>
    <w:rsid w:val="00D03977"/>
    <w:rsid w:val="00D12CD7"/>
    <w:rsid w:val="00D32771"/>
    <w:rsid w:val="00D66380"/>
    <w:rsid w:val="00D827E8"/>
    <w:rsid w:val="00DB2501"/>
    <w:rsid w:val="00DD0B28"/>
    <w:rsid w:val="00DF3165"/>
    <w:rsid w:val="00DF4032"/>
    <w:rsid w:val="00E55BF1"/>
    <w:rsid w:val="00EA5805"/>
    <w:rsid w:val="00EB1E97"/>
    <w:rsid w:val="00EE4234"/>
    <w:rsid w:val="00EF0479"/>
    <w:rsid w:val="00EF05D1"/>
    <w:rsid w:val="00F517D6"/>
    <w:rsid w:val="00F65CCD"/>
    <w:rsid w:val="00F94C19"/>
    <w:rsid w:val="00F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4544"/>
  <w15:docId w15:val="{D96D97F4-3E95-45EB-8B22-0FACC370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3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3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3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727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7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275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4749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atchln">
    <w:name w:val="catchln"/>
    <w:basedOn w:val="DefaultParagraphFont"/>
    <w:rsid w:val="00B4749C"/>
  </w:style>
  <w:style w:type="paragraph" w:styleId="Header">
    <w:name w:val="header"/>
    <w:basedOn w:val="Normal"/>
    <w:link w:val="HeaderChar"/>
    <w:uiPriority w:val="99"/>
    <w:unhideWhenUsed/>
    <w:rsid w:val="00686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C7E"/>
  </w:style>
  <w:style w:type="paragraph" w:styleId="Footer">
    <w:name w:val="footer"/>
    <w:basedOn w:val="Normal"/>
    <w:link w:val="FooterChar"/>
    <w:uiPriority w:val="99"/>
    <w:unhideWhenUsed/>
    <w:rsid w:val="00686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C7E"/>
  </w:style>
  <w:style w:type="table" w:styleId="TableGrid">
    <w:name w:val="Table Grid"/>
    <w:basedOn w:val="TableNormal"/>
    <w:uiPriority w:val="59"/>
    <w:rsid w:val="0095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1E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7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65B1"/>
    <w:rPr>
      <w:color w:val="800080" w:themeColor="followedHyperlink"/>
      <w:u w:val="single"/>
    </w:rPr>
  </w:style>
  <w:style w:type="paragraph" w:customStyle="1" w:styleId="Default">
    <w:name w:val="Default"/>
    <w:rsid w:val="00EB1E97"/>
    <w:pPr>
      <w:autoSpaceDE w:val="0"/>
      <w:autoSpaceDN w:val="0"/>
      <w:adjustRightInd w:val="0"/>
    </w:pPr>
    <w:rPr>
      <w:rFonts w:ascii="Avenir 55 Roman" w:hAnsi="Avenir 55 Roman" w:cs="Avenir 55 Roman"/>
      <w:color w:val="000000"/>
      <w:szCs w:val="24"/>
    </w:rPr>
  </w:style>
  <w:style w:type="paragraph" w:customStyle="1" w:styleId="Pa16">
    <w:name w:val="Pa16"/>
    <w:basedOn w:val="Default"/>
    <w:next w:val="Default"/>
    <w:uiPriority w:val="99"/>
    <w:rsid w:val="00EB1E97"/>
    <w:pPr>
      <w:spacing w:line="18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B1E97"/>
    <w:pPr>
      <w:spacing w:line="181" w:lineRule="atLeast"/>
    </w:pPr>
    <w:rPr>
      <w:rFonts w:cstheme="minorBidi"/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rsid w:val="001163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163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63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63AF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8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ga.ct.gov/PS98/rpt%5Colr%5Chtm/98-R-0627.htm" TargetMode="External"/><Relationship Id="rId2" Type="http://schemas.openxmlformats.org/officeDocument/2006/relationships/hyperlink" Target="https://www.brennancenter.org/publication/rebuilding-families-reclaiming-lives" TargetMode="External"/><Relationship Id="rId1" Type="http://schemas.openxmlformats.org/officeDocument/2006/relationships/hyperlink" Target="https://www.brennancenter.org/press-release/national-study-faults-federal-adoption-safe-families-act-consigning-children-permanent" TargetMode="External"/><Relationship Id="rId4" Type="http://schemas.openxmlformats.org/officeDocument/2006/relationships/hyperlink" Target="https://www.cga.ct.gov/current/pub/chap_319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FBCAC7FA2434D877294F51D142BEF" ma:contentTypeVersion="16" ma:contentTypeDescription="Create a new document." ma:contentTypeScope="" ma:versionID="a9593b7877dc5525ec0a041a2cdf0777">
  <xsd:schema xmlns:xsd="http://www.w3.org/2001/XMLSchema" xmlns:xs="http://www.w3.org/2001/XMLSchema" xmlns:p="http://schemas.microsoft.com/office/2006/metadata/properties" xmlns:ns2="8e49364d-9477-40e1-9a75-edaa722e0552" xmlns:ns3="d495d236-2560-4726-8144-b38f557a6f44" targetNamespace="http://schemas.microsoft.com/office/2006/metadata/properties" ma:root="true" ma:fieldsID="1b6035130a461200f3b95d0fa5cb1486" ns2:_="" ns3:_="">
    <xsd:import namespace="8e49364d-9477-40e1-9a75-edaa722e0552"/>
    <xsd:import namespace="d495d236-2560-4726-8144-b38f557a6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364d-9477-40e1-9a75-edaa722e0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d236-2560-4726-8144-b38f557a6f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169faa-47cd-4510-84f8-71cd6abef8ba}" ma:internalName="TaxCatchAll" ma:showField="CatchAllData" ma:web="d495d236-2560-4726-8144-b38f557a6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95d236-2560-4726-8144-b38f557a6f44" xsi:nil="true"/>
    <lcf76f155ced4ddcb4097134ff3c332f xmlns="8e49364d-9477-40e1-9a75-edaa722e05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242DE-F1CF-4ABE-A531-20D86F4FD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765687-C8C7-466E-BD6A-FC8DF90FFEEF}"/>
</file>

<file path=customXml/itemProps3.xml><?xml version="1.0" encoding="utf-8"?>
<ds:datastoreItem xmlns:ds="http://schemas.openxmlformats.org/officeDocument/2006/customXml" ds:itemID="{03EBE061-731E-4BCB-B7C2-DA69216FF468}"/>
</file>

<file path=customXml/itemProps4.xml><?xml version="1.0" encoding="utf-8"?>
<ds:datastoreItem xmlns:ds="http://schemas.openxmlformats.org/officeDocument/2006/customXml" ds:itemID="{D8AB3983-64BE-4E57-95C6-4F446E16AA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Kane, Brittany E. (IMRP)</cp:lastModifiedBy>
  <cp:revision>2</cp:revision>
  <cp:lastPrinted>2017-10-11T17:17:00Z</cp:lastPrinted>
  <dcterms:created xsi:type="dcterms:W3CDTF">2018-11-27T20:48:00Z</dcterms:created>
  <dcterms:modified xsi:type="dcterms:W3CDTF">2018-11-27T20:48:00Z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0x010100B6EFBCAC7FA2434D877294F51D142BEF</vt:lpwstr>
  </property>
  <property fmtid="{D5CDD505-2E9C-101B-9397-08002B2CF9AE}" pid="3" name="Order">
    <vt:r8>55200</vt:r8>
  </property>
</Properties>
</file>